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7B3D4687" w14:textId="77777777" w:rsidTr="00B26CCE">
        <w:tc>
          <w:tcPr>
            <w:tcW w:w="3143" w:type="dxa"/>
          </w:tcPr>
          <w:p w14:paraId="01D3277A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1C9E2D5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DAB1CB9" w14:textId="77777777" w:rsidTr="00B26CCE">
        <w:tc>
          <w:tcPr>
            <w:tcW w:w="3143" w:type="dxa"/>
          </w:tcPr>
          <w:p w14:paraId="78C7B289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2019179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1CB380A" w14:textId="77777777" w:rsidTr="00B26CCE">
        <w:tc>
          <w:tcPr>
            <w:tcW w:w="3143" w:type="dxa"/>
          </w:tcPr>
          <w:p w14:paraId="2879E4B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6748E02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2B8A7A9" w14:textId="77777777" w:rsidTr="00B26CCE">
        <w:tc>
          <w:tcPr>
            <w:tcW w:w="3143" w:type="dxa"/>
          </w:tcPr>
          <w:p w14:paraId="1C31C09C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3BB6E69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644A05D" w14:textId="77777777" w:rsidTr="00B26CCE">
        <w:tc>
          <w:tcPr>
            <w:tcW w:w="3143" w:type="dxa"/>
          </w:tcPr>
          <w:p w14:paraId="3104EDD0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2524224D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C1B30D8" w14:textId="77777777" w:rsidTr="00B26CCE">
        <w:tc>
          <w:tcPr>
            <w:tcW w:w="3143" w:type="dxa"/>
          </w:tcPr>
          <w:p w14:paraId="41C8F90F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5607963B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39B4C1A" w14:textId="77777777" w:rsidTr="00B26CCE">
        <w:tc>
          <w:tcPr>
            <w:tcW w:w="3143" w:type="dxa"/>
          </w:tcPr>
          <w:p w14:paraId="3A2DBF63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0814089E" w14:textId="6D3AF30B" w:rsidR="00D35A60" w:rsidRPr="00AD4F51" w:rsidRDefault="00AD4F51" w:rsidP="00AD4F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 que Ordena Traslado para Alegatos de Conclusión (A</w:t>
            </w:r>
            <w:r w:rsidRPr="00AD4F51">
              <w:rPr>
                <w:rFonts w:ascii="Arial" w:hAnsi="Arial" w:cs="Arial"/>
                <w:b/>
                <w:sz w:val="24"/>
                <w:szCs w:val="24"/>
              </w:rPr>
              <w:t>rt. 169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Ley 734 de 2002</w:t>
            </w:r>
            <w:r w:rsidRPr="00AD4F51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</w:tc>
      </w:tr>
    </w:tbl>
    <w:p w14:paraId="77C3257C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481EE0D" w14:textId="6E605B2B" w:rsidR="00D35A60" w:rsidRDefault="00811A23" w:rsidP="00811A2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0196682D" w14:textId="013A1B08" w:rsidR="00811A23" w:rsidRDefault="00811A23" w:rsidP="00811A2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Ibagué,</w:t>
      </w:r>
    </w:p>
    <w:p w14:paraId="2425644B" w14:textId="77777777" w:rsidR="00811A23" w:rsidRDefault="00811A23" w:rsidP="00811A2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14:paraId="2581ABE1" w14:textId="224F6CBD" w:rsidR="00811A23" w:rsidRDefault="00811A23" w:rsidP="00811A23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811A23">
        <w:rPr>
          <w:rFonts w:ascii="Arial" w:hAnsi="Arial" w:cs="Arial"/>
          <w:sz w:val="24"/>
          <w:szCs w:val="24"/>
        </w:rPr>
        <w:t>Dispone el artículo 169 del C.D.U., modificado por la ley 1474 de 2011 artículo 55, que si no hubiere pruebas por practicar o hab</w:t>
      </w:r>
      <w:r>
        <w:rPr>
          <w:rFonts w:ascii="Arial" w:hAnsi="Arial" w:cs="Arial"/>
          <w:sz w:val="24"/>
          <w:szCs w:val="24"/>
        </w:rPr>
        <w:t>iéndose practicado las ordenadas</w:t>
      </w:r>
      <w:r w:rsidRPr="00811A23">
        <w:rPr>
          <w:rFonts w:ascii="Arial" w:hAnsi="Arial" w:cs="Arial"/>
          <w:sz w:val="24"/>
          <w:szCs w:val="24"/>
        </w:rPr>
        <w:t>, como es el caso,  se procede a dar traslado</w:t>
      </w:r>
      <w:r>
        <w:rPr>
          <w:rFonts w:ascii="Arial" w:hAnsi="Arial" w:cs="Arial"/>
          <w:sz w:val="24"/>
          <w:szCs w:val="24"/>
        </w:rPr>
        <w:t xml:space="preserve"> para alegar d</w:t>
      </w:r>
      <w:r w:rsidRPr="00811A23">
        <w:rPr>
          <w:rFonts w:ascii="Arial" w:hAnsi="Arial" w:cs="Arial"/>
          <w:sz w:val="24"/>
          <w:szCs w:val="24"/>
        </w:rPr>
        <w:t xml:space="preserve">e conclusión.  </w:t>
      </w:r>
    </w:p>
    <w:p w14:paraId="6E28B9C9" w14:textId="687D27FE" w:rsidR="00811A23" w:rsidRPr="00811A23" w:rsidRDefault="00811A23" w:rsidP="00811A23">
      <w:pPr>
        <w:tabs>
          <w:tab w:val="left" w:pos="2552"/>
          <w:tab w:val="left" w:pos="29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1A23">
        <w:rPr>
          <w:rFonts w:ascii="Arial" w:hAnsi="Arial" w:cs="Arial"/>
          <w:sz w:val="24"/>
          <w:szCs w:val="24"/>
        </w:rPr>
        <w:t xml:space="preserve">Así las cosas, de conformidad con lo dispuesto por el citado artículo  se ordenará correr traslado por diez (10) días </w:t>
      </w:r>
      <w:r>
        <w:rPr>
          <w:rFonts w:ascii="Arial" w:hAnsi="Arial" w:cs="Arial"/>
          <w:sz w:val="24"/>
          <w:szCs w:val="24"/>
        </w:rPr>
        <w:t>hábiles</w:t>
      </w:r>
      <w:r w:rsidRPr="00811A23">
        <w:rPr>
          <w:rFonts w:ascii="Arial" w:hAnsi="Arial" w:cs="Arial"/>
          <w:sz w:val="24"/>
          <w:szCs w:val="24"/>
        </w:rPr>
        <w:t xml:space="preserve"> para que los sujetos procesales puedan presentar alegatos de conclusión.</w:t>
      </w:r>
    </w:p>
    <w:p w14:paraId="39E5F70A" w14:textId="06B031B2" w:rsidR="008A5D04" w:rsidRPr="008A5D04" w:rsidRDefault="00811A23" w:rsidP="008A5D04">
      <w:pPr>
        <w:tabs>
          <w:tab w:val="left" w:pos="2268"/>
          <w:tab w:val="left" w:pos="2552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1A23">
        <w:rPr>
          <w:rFonts w:ascii="Arial" w:hAnsi="Arial" w:cs="Arial"/>
          <w:sz w:val="24"/>
          <w:szCs w:val="24"/>
        </w:rPr>
        <w:t xml:space="preserve">              </w:t>
      </w:r>
      <w:r w:rsidRPr="00811A23">
        <w:rPr>
          <w:rFonts w:ascii="Arial" w:hAnsi="Arial" w:cs="Arial"/>
          <w:sz w:val="24"/>
          <w:szCs w:val="24"/>
        </w:rPr>
        <w:tab/>
      </w:r>
      <w:r w:rsidR="008A5D04">
        <w:rPr>
          <w:rFonts w:ascii="Arial" w:hAnsi="Arial" w:cs="Arial"/>
          <w:sz w:val="24"/>
          <w:szCs w:val="24"/>
        </w:rPr>
        <w:tab/>
      </w:r>
      <w:r w:rsidR="008A5D04" w:rsidRPr="008A5D04">
        <w:rPr>
          <w:rFonts w:ascii="Arial" w:hAnsi="Arial" w:cs="Arial"/>
          <w:sz w:val="24"/>
          <w:szCs w:val="24"/>
        </w:rPr>
        <w:t xml:space="preserve">En virtud de la remisión autorizada en los artículos 21 y 105 de la Ley 734 de 2002 y Art. 46 de la Ley 1474 de 2011,  se notificará en la forma señalada por el artículo 321 del Código de Procedimiento Civil y en consecuencia, los diez (10) días de traslado se contarán a partir exclusive del tercer día hábil siguiente a la </w:t>
      </w:r>
      <w:proofErr w:type="spellStart"/>
      <w:r w:rsidR="008A5D04" w:rsidRPr="008A5D04">
        <w:rPr>
          <w:rFonts w:ascii="Arial" w:hAnsi="Arial" w:cs="Arial"/>
          <w:sz w:val="24"/>
          <w:szCs w:val="24"/>
        </w:rPr>
        <w:t>desfijación</w:t>
      </w:r>
      <w:proofErr w:type="spellEnd"/>
      <w:r w:rsidR="008A5D04" w:rsidRPr="008A5D04">
        <w:rPr>
          <w:rFonts w:ascii="Arial" w:hAnsi="Arial" w:cs="Arial"/>
          <w:sz w:val="24"/>
          <w:szCs w:val="24"/>
        </w:rPr>
        <w:t xml:space="preserve"> del estado, fecha en la cual queda ejecutoriado el auto por no tener recurso alguno, conforme lo establece el artículo 331 ibídem.</w:t>
      </w:r>
    </w:p>
    <w:p w14:paraId="1068EB7C" w14:textId="306F2127" w:rsidR="00811A23" w:rsidRPr="008A5D04" w:rsidRDefault="008A5D04" w:rsidP="008A5D04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5D04">
        <w:rPr>
          <w:rFonts w:ascii="Arial" w:hAnsi="Arial" w:cs="Arial"/>
          <w:sz w:val="24"/>
          <w:szCs w:val="24"/>
        </w:rPr>
        <w:tab/>
      </w:r>
      <w:r w:rsidRPr="008A5D04">
        <w:rPr>
          <w:rFonts w:ascii="Arial" w:hAnsi="Arial" w:cs="Arial"/>
          <w:sz w:val="24"/>
          <w:szCs w:val="24"/>
        </w:rPr>
        <w:tab/>
      </w:r>
    </w:p>
    <w:p w14:paraId="12F0E5E8" w14:textId="229F78F0" w:rsidR="00811A23" w:rsidRDefault="00811A23" w:rsidP="00811A23">
      <w:pPr>
        <w:tabs>
          <w:tab w:val="left" w:pos="2552"/>
          <w:tab w:val="left" w:pos="34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</w:p>
    <w:p w14:paraId="38B5EE82" w14:textId="52C6AD48" w:rsidR="003B02FE" w:rsidRPr="00B700C3" w:rsidRDefault="002E59F6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NOTIFIQUESE </w:t>
      </w:r>
      <w:r w:rsidR="00811A2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Y CÙ</w:t>
      </w:r>
      <w:r w:rsidR="003B02FE"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MPLASE</w:t>
      </w:r>
    </w:p>
    <w:p w14:paraId="368BCFDD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CB21493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6CC0339" w14:textId="77777777" w:rsidR="00CE6CB7" w:rsidRDefault="00CE6CB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BA487E9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1FEC632" w14:textId="49F75014" w:rsidR="003B02FE" w:rsidRDefault="00E5353C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</w:t>
      </w:r>
    </w:p>
    <w:p w14:paraId="760629C1" w14:textId="77777777" w:rsidR="003B02FE" w:rsidRPr="00E5353C" w:rsidRDefault="00DF2E18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E5353C">
        <w:rPr>
          <w:rFonts w:ascii="Arial" w:hAnsi="Arial" w:cs="Arial"/>
          <w:b/>
          <w:sz w:val="24"/>
          <w:szCs w:val="24"/>
          <w:lang w:eastAsia="es-CO"/>
        </w:rPr>
        <w:t xml:space="preserve">Jefe Oficina Control Único Disciplinario </w:t>
      </w:r>
    </w:p>
    <w:p w14:paraId="657CB6CA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7C7D4FF3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E71250B" w14:textId="77777777" w:rsidR="009A2658" w:rsidRDefault="009A2658" w:rsidP="00885DF4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2FF2A11A" w14:textId="1D6A4F12" w:rsidR="00885DF4" w:rsidRPr="00885DF4" w:rsidRDefault="00885DF4" w:rsidP="00885DF4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  <w:t>Proyectó: Ligia Aguilar Gómez/Abogada Contratista</w:t>
      </w:r>
    </w:p>
    <w:sectPr w:rsidR="00885DF4" w:rsidRPr="00885DF4" w:rsidSect="005A1EDF">
      <w:headerReference w:type="default" r:id="rId7"/>
      <w:footerReference w:type="default" r:id="rId8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5A57" w14:textId="77777777" w:rsidR="00BA7A71" w:rsidRDefault="00BA7A71" w:rsidP="0098684E">
      <w:pPr>
        <w:spacing w:after="0" w:line="240" w:lineRule="auto"/>
      </w:pPr>
      <w:r>
        <w:separator/>
      </w:r>
    </w:p>
  </w:endnote>
  <w:endnote w:type="continuationSeparator" w:id="0">
    <w:p w14:paraId="405421F4" w14:textId="77777777" w:rsidR="00BA7A71" w:rsidRDefault="00BA7A71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034" w14:textId="49285C8A" w:rsidR="00813A4B" w:rsidRPr="00327182" w:rsidRDefault="00813A4B" w:rsidP="00813A4B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7137"/>
  </w:p>
  <w:p w14:paraId="76569DEA" w14:textId="77777777" w:rsidR="00813A4B" w:rsidRPr="001856A8" w:rsidRDefault="00813A4B" w:rsidP="00813A4B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73F50E98" w14:textId="77777777" w:rsidR="00813A4B" w:rsidRPr="00AE0167" w:rsidRDefault="00813A4B" w:rsidP="00813A4B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bookmarkEnd w:id="1"/>
  <w:p w14:paraId="061191DA" w14:textId="77777777" w:rsidR="00687B40" w:rsidRDefault="00687B40" w:rsidP="00687B40">
    <w:pPr>
      <w:jc w:val="center"/>
    </w:pPr>
  </w:p>
  <w:p w14:paraId="6B151602" w14:textId="77777777" w:rsidR="00687B40" w:rsidRPr="00607CFC" w:rsidRDefault="00687B40" w:rsidP="00687B40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5F6A824E" w14:textId="77777777" w:rsidR="00AE0167" w:rsidRPr="008B48DF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8583" w14:textId="77777777" w:rsidR="00BA7A71" w:rsidRDefault="00BA7A71" w:rsidP="0098684E">
      <w:pPr>
        <w:spacing w:after="0" w:line="240" w:lineRule="auto"/>
      </w:pPr>
      <w:r>
        <w:separator/>
      </w:r>
    </w:p>
  </w:footnote>
  <w:footnote w:type="continuationSeparator" w:id="0">
    <w:p w14:paraId="45E6F376" w14:textId="77777777" w:rsidR="00BA7A71" w:rsidRDefault="00BA7A71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6BFD1907" w14:textId="77777777" w:rsidTr="009818C6">
      <w:trPr>
        <w:trHeight w:val="255"/>
      </w:trPr>
      <w:tc>
        <w:tcPr>
          <w:tcW w:w="1986" w:type="dxa"/>
          <w:vMerge w:val="restart"/>
        </w:tcPr>
        <w:p w14:paraId="09F7A07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7BD4A70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12184D21" wp14:editId="49539B64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2818027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C2484E6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600B3F53" w14:textId="0FBAF77B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687B40">
            <w:rPr>
              <w:noProof/>
              <w:sz w:val="18"/>
              <w:szCs w:val="18"/>
              <w:lang w:eastAsia="es-CO"/>
            </w:rPr>
            <w:t>11-PRO-GCD-02</w:t>
          </w:r>
        </w:p>
      </w:tc>
      <w:tc>
        <w:tcPr>
          <w:tcW w:w="1209" w:type="dxa"/>
          <w:vMerge w:val="restart"/>
        </w:tcPr>
        <w:p w14:paraId="2A892FD7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277D3235" wp14:editId="08FBDDCB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581DA332" w14:textId="77777777" w:rsidTr="009818C6">
      <w:trPr>
        <w:trHeight w:val="267"/>
      </w:trPr>
      <w:tc>
        <w:tcPr>
          <w:tcW w:w="1986" w:type="dxa"/>
          <w:vMerge/>
        </w:tcPr>
        <w:p w14:paraId="67B61E2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50AF745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60F13F4" w14:textId="73C2ED56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87B40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3B7D7C7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671808E5" w14:textId="77777777" w:rsidTr="009818C6">
      <w:trPr>
        <w:trHeight w:val="278"/>
      </w:trPr>
      <w:tc>
        <w:tcPr>
          <w:tcW w:w="1986" w:type="dxa"/>
          <w:vMerge/>
        </w:tcPr>
        <w:p w14:paraId="040AA29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270B294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23B871F" w14:textId="65435767" w:rsidR="00B26CCE" w:rsidRPr="00B26CCE" w:rsidRDefault="00B26CCE" w:rsidP="00687B40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1A0F1D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70BB938A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69185285" w14:textId="77777777" w:rsidTr="009818C6">
      <w:trPr>
        <w:trHeight w:val="627"/>
      </w:trPr>
      <w:tc>
        <w:tcPr>
          <w:tcW w:w="1986" w:type="dxa"/>
          <w:vMerge/>
        </w:tcPr>
        <w:p w14:paraId="201A2B7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2702016B" w14:textId="71F1767F" w:rsidR="00B26CCE" w:rsidRPr="00B26CCE" w:rsidRDefault="00B26CCE" w:rsidP="002E59F6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AUTO</w:t>
          </w:r>
          <w:r w:rsidR="00CC0251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QUE</w:t>
          </w: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</w:t>
          </w:r>
          <w:r w:rsidR="002E59F6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ORDENA </w:t>
          </w:r>
          <w:r w:rsidR="00CC0251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EL TRASLADO </w:t>
          </w:r>
          <w:r w:rsidR="002E59F6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A LOS SUJETOS PROCESALES PARA ALEG</w:t>
          </w:r>
          <w:r w:rsidR="00CC0251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AR DE CONCLUSION </w:t>
          </w:r>
        </w:p>
      </w:tc>
      <w:tc>
        <w:tcPr>
          <w:tcW w:w="1909" w:type="dxa"/>
        </w:tcPr>
        <w:p w14:paraId="12FD3E84" w14:textId="025B6571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1A0F1D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1A0F1D">
            <w:rPr>
              <w:noProof/>
              <w:sz w:val="18"/>
              <w:szCs w:val="18"/>
              <w:lang w:eastAsia="es-CO"/>
            </w:rPr>
            <w:t>1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1853FCD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522A6E9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7D6A1660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01218"/>
    <w:rsid w:val="00010CE3"/>
    <w:rsid w:val="00020DD3"/>
    <w:rsid w:val="00022891"/>
    <w:rsid w:val="00041D34"/>
    <w:rsid w:val="00086A57"/>
    <w:rsid w:val="000915D8"/>
    <w:rsid w:val="00091686"/>
    <w:rsid w:val="00097DB6"/>
    <w:rsid w:val="000A1988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C7F"/>
    <w:rsid w:val="00151683"/>
    <w:rsid w:val="00156D87"/>
    <w:rsid w:val="00170682"/>
    <w:rsid w:val="00193D9E"/>
    <w:rsid w:val="001A0F1D"/>
    <w:rsid w:val="001A7E69"/>
    <w:rsid w:val="001B2C5F"/>
    <w:rsid w:val="001B6B3C"/>
    <w:rsid w:val="001D03C2"/>
    <w:rsid w:val="001E32B4"/>
    <w:rsid w:val="001E6768"/>
    <w:rsid w:val="00234F82"/>
    <w:rsid w:val="00250184"/>
    <w:rsid w:val="00257BEE"/>
    <w:rsid w:val="00270BE4"/>
    <w:rsid w:val="00274BB2"/>
    <w:rsid w:val="00291260"/>
    <w:rsid w:val="002B6A9D"/>
    <w:rsid w:val="002C028F"/>
    <w:rsid w:val="002D7716"/>
    <w:rsid w:val="002E544F"/>
    <w:rsid w:val="002E59F6"/>
    <w:rsid w:val="002F3066"/>
    <w:rsid w:val="00304AC3"/>
    <w:rsid w:val="003126B2"/>
    <w:rsid w:val="00327182"/>
    <w:rsid w:val="00334624"/>
    <w:rsid w:val="00341061"/>
    <w:rsid w:val="0034197B"/>
    <w:rsid w:val="00350CB5"/>
    <w:rsid w:val="00351952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35387"/>
    <w:rsid w:val="00442D43"/>
    <w:rsid w:val="004619C9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0E65"/>
    <w:rsid w:val="0059184B"/>
    <w:rsid w:val="005937A8"/>
    <w:rsid w:val="0059391D"/>
    <w:rsid w:val="0059433E"/>
    <w:rsid w:val="0059462D"/>
    <w:rsid w:val="005A1EDF"/>
    <w:rsid w:val="005A44ED"/>
    <w:rsid w:val="005E3235"/>
    <w:rsid w:val="006015C7"/>
    <w:rsid w:val="00606793"/>
    <w:rsid w:val="00622BDB"/>
    <w:rsid w:val="00631FAD"/>
    <w:rsid w:val="0063702D"/>
    <w:rsid w:val="00687B40"/>
    <w:rsid w:val="006B51D3"/>
    <w:rsid w:val="006B5A0C"/>
    <w:rsid w:val="006B6729"/>
    <w:rsid w:val="006E6F13"/>
    <w:rsid w:val="006F33A7"/>
    <w:rsid w:val="00706DA1"/>
    <w:rsid w:val="00721586"/>
    <w:rsid w:val="007237D2"/>
    <w:rsid w:val="00725B70"/>
    <w:rsid w:val="007530F6"/>
    <w:rsid w:val="007657E8"/>
    <w:rsid w:val="00776C44"/>
    <w:rsid w:val="00787ECD"/>
    <w:rsid w:val="007A119B"/>
    <w:rsid w:val="007B1FF0"/>
    <w:rsid w:val="00811A23"/>
    <w:rsid w:val="00813A4B"/>
    <w:rsid w:val="00873CD1"/>
    <w:rsid w:val="00882BC8"/>
    <w:rsid w:val="00885DF4"/>
    <w:rsid w:val="00890F61"/>
    <w:rsid w:val="008A5D04"/>
    <w:rsid w:val="008B4375"/>
    <w:rsid w:val="008B48DF"/>
    <w:rsid w:val="008B5AB8"/>
    <w:rsid w:val="008C71E7"/>
    <w:rsid w:val="00907E5E"/>
    <w:rsid w:val="00934D87"/>
    <w:rsid w:val="00935951"/>
    <w:rsid w:val="00944F27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5552C"/>
    <w:rsid w:val="00A7585E"/>
    <w:rsid w:val="00A80CB0"/>
    <w:rsid w:val="00A8567A"/>
    <w:rsid w:val="00A95B67"/>
    <w:rsid w:val="00AA04E1"/>
    <w:rsid w:val="00AB0487"/>
    <w:rsid w:val="00AD4F51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A7A71"/>
    <w:rsid w:val="00BC57C3"/>
    <w:rsid w:val="00BD6C96"/>
    <w:rsid w:val="00BE3347"/>
    <w:rsid w:val="00BE725F"/>
    <w:rsid w:val="00BF3D57"/>
    <w:rsid w:val="00BF5E9C"/>
    <w:rsid w:val="00C35384"/>
    <w:rsid w:val="00C40B9F"/>
    <w:rsid w:val="00C42C7A"/>
    <w:rsid w:val="00C5023C"/>
    <w:rsid w:val="00C6053A"/>
    <w:rsid w:val="00C701A4"/>
    <w:rsid w:val="00C719C2"/>
    <w:rsid w:val="00CA0696"/>
    <w:rsid w:val="00CA31B5"/>
    <w:rsid w:val="00CC0251"/>
    <w:rsid w:val="00CD5630"/>
    <w:rsid w:val="00CE0EF7"/>
    <w:rsid w:val="00CE6CB7"/>
    <w:rsid w:val="00CE7813"/>
    <w:rsid w:val="00D24B95"/>
    <w:rsid w:val="00D27F26"/>
    <w:rsid w:val="00D35A60"/>
    <w:rsid w:val="00D4250B"/>
    <w:rsid w:val="00D44DEF"/>
    <w:rsid w:val="00D87B99"/>
    <w:rsid w:val="00D94A32"/>
    <w:rsid w:val="00D97E33"/>
    <w:rsid w:val="00DF2E18"/>
    <w:rsid w:val="00DF3408"/>
    <w:rsid w:val="00E516D2"/>
    <w:rsid w:val="00E5353C"/>
    <w:rsid w:val="00E5543D"/>
    <w:rsid w:val="00E859C5"/>
    <w:rsid w:val="00E94261"/>
    <w:rsid w:val="00EA64DF"/>
    <w:rsid w:val="00EC5169"/>
    <w:rsid w:val="00EE5CA7"/>
    <w:rsid w:val="00EF28F9"/>
    <w:rsid w:val="00F01ACA"/>
    <w:rsid w:val="00F022CF"/>
    <w:rsid w:val="00F30A25"/>
    <w:rsid w:val="00F333BB"/>
    <w:rsid w:val="00F35501"/>
    <w:rsid w:val="00F62E21"/>
    <w:rsid w:val="00F64FE7"/>
    <w:rsid w:val="00F9598C"/>
    <w:rsid w:val="00F96531"/>
    <w:rsid w:val="00FB2076"/>
    <w:rsid w:val="00FC6C4B"/>
    <w:rsid w:val="00FC7219"/>
    <w:rsid w:val="00FD2322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810B9"/>
  <w15:docId w15:val="{267EE340-F7D0-4EC4-9B54-0B6B934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4</cp:revision>
  <cp:lastPrinted>2018-04-06T15:29:00Z</cp:lastPrinted>
  <dcterms:created xsi:type="dcterms:W3CDTF">2021-12-02T18:32:00Z</dcterms:created>
  <dcterms:modified xsi:type="dcterms:W3CDTF">2021-12-09T17:49:00Z</dcterms:modified>
</cp:coreProperties>
</file>